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C6C2"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9E7B81">
      <w:pPr>
        <w:adjustRightInd w:val="0"/>
        <w:snapToGrid w:val="0"/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0482CD6"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广州海事博物馆研学课程合作单位</w:t>
      </w:r>
    </w:p>
    <w:p w14:paraId="70B187CB"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招募项目评审方案</w:t>
      </w:r>
    </w:p>
    <w:p w14:paraId="478099F8">
      <w:pPr>
        <w:pStyle w:val="5"/>
        <w:spacing w:line="54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 w14:paraId="536E4826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评分办法：综合评分法</w:t>
      </w:r>
    </w:p>
    <w:p w14:paraId="2D926DA2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对通过资格性审查和符合性审查的单位进行详细评审，本项目采取综合评分法，由评审小组对项目实施与响应能力、综合运营能力、团队等评审因素进行综合评价，按照评审小组综合评分达到80分及以上者为合作候选单位</w:t>
      </w:r>
      <w:r>
        <w:rPr>
          <w:rFonts w:ascii="宋体" w:hAnsi="宋体" w:cs="仿宋_GB2312"/>
          <w:sz w:val="24"/>
          <w:szCs w:val="24"/>
        </w:rPr>
        <w:t>。</w:t>
      </w:r>
    </w:p>
    <w:p w14:paraId="3E8851F4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初步评审：</w:t>
      </w:r>
    </w:p>
    <w:p w14:paraId="402942F0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评审小组根据《资格性审查和符合性审查表》的内容逐条对响应文件进行评审，审查每份响应文件的相关资格证明文件是否齐全有效。审查每份响应文件是否实质上响应了采购文件的要求，只要不满足《资格性审查和符合性审查表》所列各项要求之一的，将被认定为无效响应。对响应有效性认定意见不一致的，评审小组按少数服从多数原则表决决定。</w:t>
      </w:r>
    </w:p>
    <w:p w14:paraId="3A1B6D1D">
      <w:pPr>
        <w:adjustRightInd w:val="0"/>
        <w:snapToGrid w:val="0"/>
        <w:spacing w:line="540" w:lineRule="exact"/>
        <w:jc w:val="center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《资格性审查和符合性审查表》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322"/>
      </w:tblGrid>
      <w:tr w14:paraId="402F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CBBE2D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审查项目</w:t>
            </w:r>
          </w:p>
        </w:tc>
        <w:tc>
          <w:tcPr>
            <w:tcW w:w="7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AD6681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评审要求</w:t>
            </w:r>
          </w:p>
        </w:tc>
      </w:tr>
      <w:tr w14:paraId="31E3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A52A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CA5B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1、申报单位为在中华人民共和国境内注册成立的法人或其他组织，具有独立承担民事责任的能力。（提供营业执照或社会团体法人登记证书复印件）</w:t>
            </w:r>
          </w:p>
        </w:tc>
      </w:tr>
      <w:tr w14:paraId="51C0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BEED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94CB6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2、应具备相应经营资质和服务能力，具有3年以上与文化场馆研学、宣教活动运营相关项目合作的经验。</w:t>
            </w:r>
            <w:bookmarkStart w:id="0" w:name="_Hlk205341986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（提供类似项目的合同复印件或有关证明材料）</w:t>
            </w:r>
            <w:bookmarkEnd w:id="0"/>
          </w:p>
        </w:tc>
      </w:tr>
      <w:tr w14:paraId="099E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80A0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3BE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、申报单位具有良好的商业信誉和健全的财务会计制度。（提供申报承诺函）</w:t>
            </w:r>
          </w:p>
        </w:tc>
      </w:tr>
      <w:tr w14:paraId="4C5A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6D83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AA1F1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、具有依法缴纳税收和社会保障资金的良好记录。（提供上一年度完税证明材料）</w:t>
            </w:r>
          </w:p>
        </w:tc>
      </w:tr>
      <w:tr w14:paraId="33D4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091C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A988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、参加本次招募前三年内，在经营活动中没有重大违法记录，不存在被责令停业，财产被冻结，不存在受到重大行政处罚、失信惩戒或其他法律法规规定无法正常经营的情况。（需提供在“信用中国”网站-www.creditchina.gov.cn下载的信用信息报告）</w:t>
            </w:r>
          </w:p>
        </w:tc>
      </w:tr>
      <w:tr w14:paraId="5E72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C7D8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B9B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6、法律、行政法规规定的其他条件。</w:t>
            </w:r>
          </w:p>
        </w:tc>
      </w:tr>
      <w:tr w14:paraId="48398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8845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符合性审查</w:t>
            </w: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96F6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1、响应内容的关键、主要项目完整，没有实质性缺漏。</w:t>
            </w:r>
          </w:p>
        </w:tc>
      </w:tr>
      <w:tr w14:paraId="7AFF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2297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FC50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2、申请函、法定代表人/负责人资格证明书及授权委托书，按对应格式文件签署、盖章。</w:t>
            </w:r>
          </w:p>
        </w:tc>
      </w:tr>
      <w:tr w14:paraId="2E4E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0AEB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9E6C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、响应文件的签署和盖章：已明示需盖章、签名之处，均已加盖公章、由法定代表人或其授权代表签署本人姓名或加盖本人姓名章。</w:t>
            </w:r>
          </w:p>
        </w:tc>
      </w:tr>
      <w:tr w14:paraId="1EFC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D13F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03A9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.响应文件没有其它无效响应条款，没有招募人不能接受的其他附加条件。</w:t>
            </w:r>
          </w:p>
        </w:tc>
      </w:tr>
    </w:tbl>
    <w:p w14:paraId="77EDB320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详细评审：</w:t>
      </w:r>
    </w:p>
    <w:p w14:paraId="0E01E64F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项目评审的总分值为100分，具体评审标准如下：</w:t>
      </w:r>
    </w:p>
    <w:tbl>
      <w:tblPr>
        <w:tblStyle w:val="10"/>
        <w:tblW w:w="86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417"/>
        <w:gridCol w:w="689"/>
        <w:gridCol w:w="5953"/>
      </w:tblGrid>
      <w:tr w14:paraId="4D33A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05" w:type="dxa"/>
            <w:vAlign w:val="center"/>
          </w:tcPr>
          <w:p w14:paraId="44E89A18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14:paraId="6DB543FF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689" w:type="dxa"/>
            <w:vAlign w:val="center"/>
          </w:tcPr>
          <w:p w14:paraId="6761A820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pacing w:val="4"/>
                <w:sz w:val="24"/>
                <w:szCs w:val="24"/>
              </w:rPr>
              <w:t>分值</w:t>
            </w:r>
          </w:p>
        </w:tc>
        <w:tc>
          <w:tcPr>
            <w:tcW w:w="5953" w:type="dxa"/>
            <w:vAlign w:val="center"/>
          </w:tcPr>
          <w:p w14:paraId="1CA6E60C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pacing w:val="5"/>
                <w:sz w:val="24"/>
                <w:szCs w:val="24"/>
              </w:rPr>
              <w:t>评分细则</w:t>
            </w:r>
          </w:p>
        </w:tc>
      </w:tr>
      <w:tr w14:paraId="46920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605" w:type="dxa"/>
            <w:vAlign w:val="center"/>
          </w:tcPr>
          <w:p w14:paraId="5779E00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72E72FFC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业绩证明</w:t>
            </w:r>
          </w:p>
        </w:tc>
        <w:tc>
          <w:tcPr>
            <w:tcW w:w="689" w:type="dxa"/>
            <w:vAlign w:val="center"/>
          </w:tcPr>
          <w:p w14:paraId="7A33135C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953" w:type="dxa"/>
            <w:vAlign w:val="center"/>
          </w:tcPr>
          <w:p w14:paraId="13D1E8F4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202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2年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月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日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以合同签订时间为准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)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以来意向合作方承接文博单位、景区等类似项目业绩，以提供承接项目的合同书复印件及相关对应项目的介绍、图片等为辅助证明材料。每提供一份完整的业绩证明得5分，提供业绩类型不符合或提供材料不完整或未提供证明材料的，则不列入项目业绩。本项最高得15分。</w:t>
            </w:r>
          </w:p>
        </w:tc>
      </w:tr>
      <w:tr w14:paraId="2013A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605" w:type="dxa"/>
            <w:vMerge w:val="restart"/>
            <w:vAlign w:val="center"/>
          </w:tcPr>
          <w:p w14:paraId="6033441A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5B94D23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研学规划方案</w:t>
            </w:r>
          </w:p>
        </w:tc>
        <w:tc>
          <w:tcPr>
            <w:tcW w:w="689" w:type="dxa"/>
            <w:vAlign w:val="center"/>
          </w:tcPr>
          <w:p w14:paraId="32DDEDA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53" w:type="dxa"/>
            <w:vAlign w:val="center"/>
          </w:tcPr>
          <w:p w14:paraId="1BAD7133">
            <w:pPr>
              <w:pStyle w:val="9"/>
              <w:widowControl w:val="0"/>
              <w:spacing w:before="78" w:beforeLines="25" w:after="78" w:afterLines="25"/>
              <w:jc w:val="both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spacing w:val="-2"/>
                <w:sz w:val="24"/>
                <w:szCs w:val="24"/>
              </w:rPr>
              <w:t>结合广州海事博物馆资源，制定</w:t>
            </w:r>
            <w:r>
              <w:rPr>
                <w:rFonts w:hint="eastAsia" w:cs="仿宋"/>
                <w:spacing w:val="-2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cs="仿宋"/>
                <w:spacing w:val="-2"/>
                <w:sz w:val="24"/>
                <w:szCs w:val="24"/>
              </w:rPr>
              <w:t>合理的研学方案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。</w:t>
            </w:r>
          </w:p>
          <w:p w14:paraId="7FFEB3FB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hint="eastAsia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研学主题与创意：与博物馆资源结合紧密，主题鲜明，创意独特，能够吸引目标受众。</w:t>
            </w:r>
          </w:p>
          <w:p w14:paraId="1880F075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hint="eastAsia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10分；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本项最高得10分。</w:t>
            </w:r>
          </w:p>
        </w:tc>
      </w:tr>
      <w:tr w14:paraId="2C11F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605" w:type="dxa"/>
            <w:vMerge w:val="continue"/>
            <w:vAlign w:val="center"/>
          </w:tcPr>
          <w:p w14:paraId="1D9730E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eastAsia" w:cs="仿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C3BB5E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eastAsia" w:cs="仿宋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vAlign w:val="center"/>
          </w:tcPr>
          <w:p w14:paraId="29BF452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eastAsia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53" w:type="dxa"/>
            <w:vAlign w:val="center"/>
          </w:tcPr>
          <w:p w14:paraId="79738B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"/>
                <w:spacing w:val="-2"/>
                <w:sz w:val="24"/>
                <w:szCs w:val="24"/>
              </w:rPr>
              <w:t>结合广州海事博物馆资源，制定合理的</w:t>
            </w:r>
            <w:r>
              <w:rPr>
                <w:rFonts w:hint="eastAsia" w:cs="仿宋"/>
                <w:spacing w:val="-2"/>
                <w:sz w:val="24"/>
                <w:szCs w:val="24"/>
                <w:lang w:val="en-US" w:eastAsia="zh-CN"/>
              </w:rPr>
              <w:t>分众化</w:t>
            </w:r>
            <w:r>
              <w:rPr>
                <w:rFonts w:hint="eastAsia" w:cs="仿宋"/>
                <w:spacing w:val="-2"/>
                <w:sz w:val="24"/>
                <w:szCs w:val="24"/>
              </w:rPr>
              <w:t>研学方案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。</w:t>
            </w:r>
          </w:p>
          <w:p w14:paraId="2664286F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hint="eastAsia"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内容策划与执行细节：活动形式丰富多样，能够满足不同受众需求，执行细节周密，确保</w:t>
            </w:r>
            <w:bookmarkStart w:id="1" w:name="_GoBack"/>
            <w:bookmarkEnd w:id="1"/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研学顺利进行。</w:t>
            </w:r>
          </w:p>
          <w:p w14:paraId="29CCACE8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hint="eastAsia" w:cs="仿宋"/>
                <w:spacing w:val="-2"/>
                <w:sz w:val="24"/>
                <w:szCs w:val="24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10分；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本项最高得10分。</w:t>
            </w:r>
          </w:p>
        </w:tc>
      </w:tr>
      <w:tr w14:paraId="0EB6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605" w:type="dxa"/>
            <w:vMerge w:val="continue"/>
            <w:vAlign w:val="center"/>
          </w:tcPr>
          <w:p w14:paraId="05667F15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eastAsia" w:cs="仿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825F0F1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eastAsia" w:cs="仿宋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vAlign w:val="center"/>
          </w:tcPr>
          <w:p w14:paraId="72991CBF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eastAsia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953" w:type="dxa"/>
            <w:vAlign w:val="center"/>
          </w:tcPr>
          <w:p w14:paraId="60C5ED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仿宋"/>
                <w:spacing w:val="-2"/>
                <w:sz w:val="24"/>
                <w:szCs w:val="24"/>
              </w:rPr>
              <w:t>结合广州海事博物馆资源，制定合理的</w:t>
            </w:r>
            <w:r>
              <w:rPr>
                <w:rFonts w:hint="eastAsia" w:cs="仿宋"/>
                <w:spacing w:val="-2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cs="仿宋"/>
                <w:spacing w:val="-2"/>
                <w:sz w:val="24"/>
                <w:szCs w:val="24"/>
              </w:rPr>
              <w:t>研学方案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）</w:t>
            </w:r>
          </w:p>
          <w:p w14:paraId="6EC5C630">
            <w:pPr>
              <w:widowControl/>
              <w:jc w:val="left"/>
              <w:rPr>
                <w:rFonts w:hint="default" w:eastAsia="宋体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-2"/>
                <w:sz w:val="24"/>
                <w:szCs w:val="24"/>
              </w:rPr>
              <w:t>合作伙伴与资源整合：</w:t>
            </w:r>
            <w:r>
              <w:rPr>
                <w:rFonts w:hint="eastAsia" w:cs="仿宋"/>
                <w:spacing w:val="-2"/>
                <w:sz w:val="24"/>
                <w:szCs w:val="24"/>
                <w:lang w:val="en-US" w:eastAsia="zh-CN"/>
              </w:rPr>
              <w:t>拥有第三方合作资源（</w:t>
            </w:r>
            <w:r>
              <w:rPr>
                <w:rFonts w:hint="eastAsia" w:cs="仿宋"/>
                <w:spacing w:val="-2"/>
                <w:sz w:val="24"/>
                <w:szCs w:val="24"/>
              </w:rPr>
              <w:t>如未对外开放的科研实验室、非遗大师工作室</w:t>
            </w:r>
            <w:r>
              <w:rPr>
                <w:rFonts w:hint="eastAsia" w:cs="仿宋"/>
                <w:spacing w:val="-2"/>
                <w:sz w:val="24"/>
                <w:szCs w:val="24"/>
                <w:lang w:val="en-US" w:eastAsia="zh-CN"/>
              </w:rPr>
              <w:t>等），</w:t>
            </w:r>
            <w:r>
              <w:rPr>
                <w:rFonts w:hint="eastAsia" w:cs="仿宋"/>
                <w:spacing w:val="-2"/>
                <w:sz w:val="24"/>
                <w:szCs w:val="24"/>
              </w:rPr>
              <w:t>合作伙伴选择恰当，资源丰富多样，资源整合能力强，能够发挥各自优势。</w:t>
            </w:r>
            <w:r>
              <w:rPr>
                <w:rFonts w:hint="eastAsia" w:cs="仿宋"/>
                <w:spacing w:val="-2"/>
                <w:sz w:val="24"/>
                <w:szCs w:val="24"/>
                <w:lang w:val="en-US" w:eastAsia="zh-CN"/>
              </w:rPr>
              <w:t>每提供一家合作资源单位的合作协议或相关合作证明材料可得1分，最多4分。（4分）</w:t>
            </w:r>
          </w:p>
          <w:p w14:paraId="76F0CB5C">
            <w:pPr>
              <w:widowControl/>
              <w:jc w:val="left"/>
              <w:rPr>
                <w:rFonts w:hint="eastAsia" w:cs="仿宋"/>
                <w:spacing w:val="-2"/>
                <w:sz w:val="24"/>
                <w:szCs w:val="24"/>
              </w:rPr>
            </w:pPr>
            <w:r>
              <w:rPr>
                <w:rFonts w:hint="eastAsia" w:cs="仿宋"/>
                <w:spacing w:val="5"/>
                <w:sz w:val="24"/>
                <w:szCs w:val="24"/>
              </w:rPr>
              <w:t>0</w:t>
            </w:r>
            <w:r>
              <w:rPr>
                <w:rFonts w:cs="仿宋"/>
                <w:spacing w:val="5"/>
                <w:sz w:val="24"/>
                <w:szCs w:val="24"/>
              </w:rPr>
              <w:t>-</w:t>
            </w:r>
            <w:r>
              <w:rPr>
                <w:rFonts w:hint="eastAsia" w:cs="仿宋"/>
                <w:spacing w:val="5"/>
                <w:sz w:val="24"/>
                <w:szCs w:val="24"/>
              </w:rPr>
              <w:t>10分；</w:t>
            </w:r>
            <w:r>
              <w:rPr>
                <w:rFonts w:hint="eastAsia" w:cs="仿宋"/>
                <w:spacing w:val="-2"/>
                <w:sz w:val="24"/>
                <w:szCs w:val="24"/>
              </w:rPr>
              <w:t>本项最高得10分。</w:t>
            </w:r>
          </w:p>
        </w:tc>
      </w:tr>
      <w:tr w14:paraId="0B0C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3DC56A5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61AC9289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组织能力</w:t>
            </w:r>
          </w:p>
        </w:tc>
        <w:tc>
          <w:tcPr>
            <w:tcW w:w="689" w:type="dxa"/>
            <w:vAlign w:val="center"/>
          </w:tcPr>
          <w:p w14:paraId="59F4F33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953" w:type="dxa"/>
            <w:vAlign w:val="center"/>
          </w:tcPr>
          <w:p w14:paraId="48318475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每年组织开展研学活动不少于15场（15场不得分），每增加1场得2分。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本项最高得</w:t>
            </w:r>
            <w:r>
              <w:rPr>
                <w:rFonts w:cs="仿宋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0分。</w:t>
            </w:r>
          </w:p>
        </w:tc>
      </w:tr>
      <w:tr w14:paraId="033A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5D3CE21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3F7131BA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品牌课程宣传推广方案</w:t>
            </w:r>
          </w:p>
        </w:tc>
        <w:tc>
          <w:tcPr>
            <w:tcW w:w="689" w:type="dxa"/>
            <w:vAlign w:val="center"/>
          </w:tcPr>
          <w:p w14:paraId="5FA1B263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hint="default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spacing w:val="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53" w:type="dxa"/>
            <w:vAlign w:val="center"/>
          </w:tcPr>
          <w:p w14:paraId="4BC41CD0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制定品牌课程的宣传推广计划，能够有效提升课程品牌知名度，增强广州海事博物馆认同感。</w:t>
            </w:r>
          </w:p>
          <w:p w14:paraId="25131CE0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15分；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本项最高得15分。</w:t>
            </w:r>
          </w:p>
        </w:tc>
      </w:tr>
      <w:tr w14:paraId="54FC9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94620F8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15169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收费服务方案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19FD8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FFB7AE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根据博物馆实际情况，制定合理可行的收费服务方案，内容包括收费项目简介、收费标准及制定依据、收费管理等内容。</w:t>
            </w:r>
          </w:p>
          <w:p w14:paraId="6A72381F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10分；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本项最高得10分。</w:t>
            </w:r>
          </w:p>
        </w:tc>
      </w:tr>
      <w:tr w14:paraId="6705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DB31673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2BD1E">
            <w:pPr>
              <w:pStyle w:val="9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效益分配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C6C7946">
            <w:pPr>
              <w:pStyle w:val="9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996616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每场研学活动博物馆所得项目收益的分成占比为销售总额的10%以上（10%不得分），每增加1%加2分。</w:t>
            </w:r>
          </w:p>
          <w:p w14:paraId="01095617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10分；</w:t>
            </w:r>
            <w:r>
              <w:rPr>
                <w:rFonts w:hint="eastAsia" w:cs="仿宋"/>
                <w:spacing w:val="-2"/>
                <w:sz w:val="24"/>
                <w:szCs w:val="24"/>
                <w:lang w:eastAsia="zh-CN"/>
              </w:rPr>
              <w:t>本项最高得10分。</w:t>
            </w:r>
          </w:p>
        </w:tc>
      </w:tr>
      <w:tr w14:paraId="1C93F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E98EA9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vAlign w:val="center"/>
          </w:tcPr>
          <w:p w14:paraId="6D3333BA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服务质量保证</w:t>
            </w:r>
          </w:p>
        </w:tc>
        <w:tc>
          <w:tcPr>
            <w:tcW w:w="689" w:type="dxa"/>
            <w:vAlign w:val="center"/>
          </w:tcPr>
          <w:p w14:paraId="19283CBC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953" w:type="dxa"/>
            <w:vAlign w:val="center"/>
          </w:tcPr>
          <w:p w14:paraId="57747B1B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制定服务质量保障方案，能够提供充分的服务团队保障、技术支持、媒体等外部资源。对现场活动安全、服务保障措施、纠纷处理有充分的应对。</w:t>
            </w:r>
          </w:p>
          <w:p w14:paraId="4482470D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10分；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 xml:space="preserve">本项最高得10分。 </w:t>
            </w:r>
          </w:p>
        </w:tc>
      </w:tr>
      <w:tr w14:paraId="5C9D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022" w:type="dxa"/>
            <w:gridSpan w:val="2"/>
            <w:vAlign w:val="center"/>
          </w:tcPr>
          <w:p w14:paraId="2D120AA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9" w:type="dxa"/>
            <w:vAlign w:val="center"/>
          </w:tcPr>
          <w:p w14:paraId="6988E14F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953" w:type="dxa"/>
            <w:vAlign w:val="center"/>
          </w:tcPr>
          <w:p w14:paraId="140867E7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702FB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2B15"/>
    <w:multiLevelType w:val="multilevel"/>
    <w:tmpl w:val="49272B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724C"/>
    <w:rsid w:val="00062FCF"/>
    <w:rsid w:val="000844DB"/>
    <w:rsid w:val="000A549F"/>
    <w:rsid w:val="00157A43"/>
    <w:rsid w:val="002D0199"/>
    <w:rsid w:val="00374146"/>
    <w:rsid w:val="003C6416"/>
    <w:rsid w:val="003D3C31"/>
    <w:rsid w:val="0044318C"/>
    <w:rsid w:val="00475B34"/>
    <w:rsid w:val="0052492F"/>
    <w:rsid w:val="005579E9"/>
    <w:rsid w:val="005A375D"/>
    <w:rsid w:val="005F6965"/>
    <w:rsid w:val="006345FB"/>
    <w:rsid w:val="006826F0"/>
    <w:rsid w:val="006C026D"/>
    <w:rsid w:val="007371C2"/>
    <w:rsid w:val="007D7FE6"/>
    <w:rsid w:val="008020C5"/>
    <w:rsid w:val="008877A8"/>
    <w:rsid w:val="00894433"/>
    <w:rsid w:val="008A26E4"/>
    <w:rsid w:val="009C0A67"/>
    <w:rsid w:val="009C59E5"/>
    <w:rsid w:val="00A54C65"/>
    <w:rsid w:val="00A91E0E"/>
    <w:rsid w:val="00AC6E4F"/>
    <w:rsid w:val="00B147CD"/>
    <w:rsid w:val="00B62EC8"/>
    <w:rsid w:val="00B732CC"/>
    <w:rsid w:val="00B813E6"/>
    <w:rsid w:val="00BF6704"/>
    <w:rsid w:val="00CA4258"/>
    <w:rsid w:val="00CD662A"/>
    <w:rsid w:val="00D040CE"/>
    <w:rsid w:val="00D13BAE"/>
    <w:rsid w:val="00DD1251"/>
    <w:rsid w:val="00E0527C"/>
    <w:rsid w:val="00E7343F"/>
    <w:rsid w:val="00EB65A9"/>
    <w:rsid w:val="00F71A93"/>
    <w:rsid w:val="00FE4997"/>
    <w:rsid w:val="01A00DB8"/>
    <w:rsid w:val="01E150A5"/>
    <w:rsid w:val="03531B8D"/>
    <w:rsid w:val="03847CD4"/>
    <w:rsid w:val="03E125EC"/>
    <w:rsid w:val="049F0DF6"/>
    <w:rsid w:val="056B42F1"/>
    <w:rsid w:val="05D24F9A"/>
    <w:rsid w:val="05D94925"/>
    <w:rsid w:val="06E64E63"/>
    <w:rsid w:val="08E35BA2"/>
    <w:rsid w:val="09A61163"/>
    <w:rsid w:val="0B8E1003"/>
    <w:rsid w:val="0BFB3BB6"/>
    <w:rsid w:val="0C942AAF"/>
    <w:rsid w:val="0C946333"/>
    <w:rsid w:val="0D020B65"/>
    <w:rsid w:val="0D612203"/>
    <w:rsid w:val="101504F3"/>
    <w:rsid w:val="106946FA"/>
    <w:rsid w:val="106E6603"/>
    <w:rsid w:val="11091BED"/>
    <w:rsid w:val="11D93657"/>
    <w:rsid w:val="122A215C"/>
    <w:rsid w:val="140219E2"/>
    <w:rsid w:val="149C415F"/>
    <w:rsid w:val="163E130D"/>
    <w:rsid w:val="1843075D"/>
    <w:rsid w:val="19625331"/>
    <w:rsid w:val="197752D7"/>
    <w:rsid w:val="1A574945"/>
    <w:rsid w:val="1AEC06BC"/>
    <w:rsid w:val="1BA16EE5"/>
    <w:rsid w:val="1C332BD1"/>
    <w:rsid w:val="1E1E39F6"/>
    <w:rsid w:val="1ED32220"/>
    <w:rsid w:val="1F0307F1"/>
    <w:rsid w:val="1F880A4A"/>
    <w:rsid w:val="1FA672D7"/>
    <w:rsid w:val="20E83E89"/>
    <w:rsid w:val="214B0162"/>
    <w:rsid w:val="21DF4421"/>
    <w:rsid w:val="22AC4A6F"/>
    <w:rsid w:val="22FC38F4"/>
    <w:rsid w:val="238A445D"/>
    <w:rsid w:val="24C044DA"/>
    <w:rsid w:val="25174EE8"/>
    <w:rsid w:val="25CB668E"/>
    <w:rsid w:val="25F0724C"/>
    <w:rsid w:val="26DF6A52"/>
    <w:rsid w:val="27172430"/>
    <w:rsid w:val="280E78A1"/>
    <w:rsid w:val="2AAE0992"/>
    <w:rsid w:val="2ACC15C7"/>
    <w:rsid w:val="2B210CD1"/>
    <w:rsid w:val="2B700A50"/>
    <w:rsid w:val="2C765D7F"/>
    <w:rsid w:val="2D5F1580"/>
    <w:rsid w:val="2DCA0C2F"/>
    <w:rsid w:val="2E2A44CC"/>
    <w:rsid w:val="2F141ECB"/>
    <w:rsid w:val="316973CB"/>
    <w:rsid w:val="319F6FF6"/>
    <w:rsid w:val="31AD3D8D"/>
    <w:rsid w:val="32D041EC"/>
    <w:rsid w:val="32D8387B"/>
    <w:rsid w:val="337B49B9"/>
    <w:rsid w:val="342D0929"/>
    <w:rsid w:val="3442504B"/>
    <w:rsid w:val="349125D5"/>
    <w:rsid w:val="349260CF"/>
    <w:rsid w:val="34BE4995"/>
    <w:rsid w:val="34F1612C"/>
    <w:rsid w:val="35370DDB"/>
    <w:rsid w:val="35764143"/>
    <w:rsid w:val="35DA3E68"/>
    <w:rsid w:val="360F4FBD"/>
    <w:rsid w:val="387B3652"/>
    <w:rsid w:val="3ABC496A"/>
    <w:rsid w:val="3ABD5C6F"/>
    <w:rsid w:val="3AC06BF4"/>
    <w:rsid w:val="3AEA4419"/>
    <w:rsid w:val="3B5D0C70"/>
    <w:rsid w:val="3C9B197D"/>
    <w:rsid w:val="3DD16176"/>
    <w:rsid w:val="3FBB3887"/>
    <w:rsid w:val="3FFF678B"/>
    <w:rsid w:val="40857CE9"/>
    <w:rsid w:val="408C3209"/>
    <w:rsid w:val="40F17018"/>
    <w:rsid w:val="41597CC1"/>
    <w:rsid w:val="42174BFC"/>
    <w:rsid w:val="434E48F9"/>
    <w:rsid w:val="446C184E"/>
    <w:rsid w:val="455362C8"/>
    <w:rsid w:val="46B3080E"/>
    <w:rsid w:val="48004C2D"/>
    <w:rsid w:val="48156CA3"/>
    <w:rsid w:val="482A1833"/>
    <w:rsid w:val="49AA353E"/>
    <w:rsid w:val="4B043FA0"/>
    <w:rsid w:val="4BA97FB1"/>
    <w:rsid w:val="4C1D6C6B"/>
    <w:rsid w:val="4C3C7520"/>
    <w:rsid w:val="4C8D6025"/>
    <w:rsid w:val="4D6D3115"/>
    <w:rsid w:val="4EDC0D6D"/>
    <w:rsid w:val="4EF61917"/>
    <w:rsid w:val="4F020FAD"/>
    <w:rsid w:val="4FD378C0"/>
    <w:rsid w:val="4FE2609D"/>
    <w:rsid w:val="50F626E2"/>
    <w:rsid w:val="51AE1E90"/>
    <w:rsid w:val="51F31300"/>
    <w:rsid w:val="524F3C18"/>
    <w:rsid w:val="53052442"/>
    <w:rsid w:val="54175782"/>
    <w:rsid w:val="54776AA0"/>
    <w:rsid w:val="548947BC"/>
    <w:rsid w:val="54D25EB5"/>
    <w:rsid w:val="555E131C"/>
    <w:rsid w:val="56567336"/>
    <w:rsid w:val="56B20949"/>
    <w:rsid w:val="570E3261"/>
    <w:rsid w:val="592D325B"/>
    <w:rsid w:val="5A923705"/>
    <w:rsid w:val="5B5A7BC4"/>
    <w:rsid w:val="5B8524B6"/>
    <w:rsid w:val="5C4C0BFA"/>
    <w:rsid w:val="5CC85FC5"/>
    <w:rsid w:val="5DA03AAA"/>
    <w:rsid w:val="5E5E5A02"/>
    <w:rsid w:val="5F6312B7"/>
    <w:rsid w:val="601B50B8"/>
    <w:rsid w:val="615E224C"/>
    <w:rsid w:val="616B1562"/>
    <w:rsid w:val="626003B8"/>
    <w:rsid w:val="63910EE7"/>
    <w:rsid w:val="64E11B0D"/>
    <w:rsid w:val="65293587"/>
    <w:rsid w:val="654672B3"/>
    <w:rsid w:val="65510EC8"/>
    <w:rsid w:val="6617798C"/>
    <w:rsid w:val="6619508D"/>
    <w:rsid w:val="66F205F4"/>
    <w:rsid w:val="67F97AE5"/>
    <w:rsid w:val="681364CD"/>
    <w:rsid w:val="682676EC"/>
    <w:rsid w:val="6827516E"/>
    <w:rsid w:val="694D4F50"/>
    <w:rsid w:val="6A705FAC"/>
    <w:rsid w:val="6B9640A0"/>
    <w:rsid w:val="6BC333DB"/>
    <w:rsid w:val="6C1369DD"/>
    <w:rsid w:val="6C5D7D56"/>
    <w:rsid w:val="6D2E042E"/>
    <w:rsid w:val="6DBA5A94"/>
    <w:rsid w:val="6EAB66A1"/>
    <w:rsid w:val="6F9F112C"/>
    <w:rsid w:val="6FBB0A5D"/>
    <w:rsid w:val="70607562"/>
    <w:rsid w:val="70A32F59"/>
    <w:rsid w:val="716A4F20"/>
    <w:rsid w:val="730D5951"/>
    <w:rsid w:val="73BE1EF1"/>
    <w:rsid w:val="75313FD1"/>
    <w:rsid w:val="760C71B7"/>
    <w:rsid w:val="766878D1"/>
    <w:rsid w:val="76B963D7"/>
    <w:rsid w:val="77E71047"/>
    <w:rsid w:val="78D93E53"/>
    <w:rsid w:val="79E7658E"/>
    <w:rsid w:val="7AC16E8E"/>
    <w:rsid w:val="7B384C36"/>
    <w:rsid w:val="7C062D05"/>
    <w:rsid w:val="7C1F16B1"/>
    <w:rsid w:val="7C4D6CFD"/>
    <w:rsid w:val="7D3A7893"/>
    <w:rsid w:val="7EA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10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1493</Characters>
  <Lines>12</Lines>
  <Paragraphs>3</Paragraphs>
  <TotalTime>12</TotalTime>
  <ScaleCrop>false</ScaleCrop>
  <LinksUpToDate>false</LinksUpToDate>
  <CharactersWithSpaces>1751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2025-02-13T01:34:00Z</dcterms:created>
  <dc:creator>梅梅莓莓枚枚</dc:creator>
  <cp:lastModifiedBy>梅梅莓莓枚枚</cp:lastModifiedBy>
  <dcterms:modified xsi:type="dcterms:W3CDTF">2025-08-19T03:28:28Z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EEABDAD9F502430CA704B32BF35F61A4_13</vt:lpwstr>
  </property>
</Properties>
</file>