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FEFC9">
      <w:pPr>
        <w:adjustRightInd w:val="0"/>
        <w:snapToGrid w:val="0"/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BB3C35F">
      <w:pPr>
        <w:adjustRightInd w:val="0"/>
        <w:snapToGrid w:val="0"/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96543F3">
      <w:pPr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广州海事博物馆语音导览合作单位招募</w:t>
      </w:r>
    </w:p>
    <w:p w14:paraId="32692A52">
      <w:pPr>
        <w:adjustRightInd w:val="0"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项目评审方案</w:t>
      </w:r>
    </w:p>
    <w:p w14:paraId="7CF3195D">
      <w:pPr>
        <w:pStyle w:val="5"/>
        <w:spacing w:line="54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 w14:paraId="52D3161F">
      <w:pPr>
        <w:pStyle w:val="13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="312" w:beforeLines="100" w:line="360" w:lineRule="auto"/>
        <w:ind w:left="0" w:firstLine="0"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评分办法：综合评分法</w:t>
      </w:r>
    </w:p>
    <w:p w14:paraId="4414DC60">
      <w:pPr>
        <w:adjustRightInd w:val="0"/>
        <w:snapToGrid w:val="0"/>
        <w:spacing w:line="5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对通过资格性审查和符合性审查的单位进行详细评审，本项目采取综合评分法，由评审小组对项目实</w:t>
      </w:r>
      <w:r>
        <w:rPr>
          <w:rFonts w:hint="eastAsia" w:ascii="宋体" w:hAnsi="宋体" w:cs="仿宋_GB2312"/>
          <w:sz w:val="24"/>
          <w:szCs w:val="24"/>
          <w:highlight w:val="none"/>
        </w:rPr>
        <w:t>施与响应能力、综合运营能力、团队及资金投入等评审因素进行综合评价，按照评审得分超60分且得分最高的申报人</w:t>
      </w:r>
      <w:r>
        <w:rPr>
          <w:rFonts w:hint="eastAsia" w:ascii="宋体" w:hAnsi="宋体" w:cs="仿宋_GB2312"/>
          <w:sz w:val="24"/>
          <w:szCs w:val="24"/>
        </w:rPr>
        <w:t>为中选合作单位</w:t>
      </w:r>
      <w:r>
        <w:rPr>
          <w:rFonts w:ascii="宋体" w:hAnsi="宋体" w:cs="仿宋_GB2312"/>
          <w:sz w:val="24"/>
          <w:szCs w:val="24"/>
        </w:rPr>
        <w:t>。</w:t>
      </w:r>
    </w:p>
    <w:p w14:paraId="2946A7A8">
      <w:pPr>
        <w:pStyle w:val="13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="312" w:beforeLines="100" w:line="360" w:lineRule="auto"/>
        <w:ind w:left="0" w:firstLine="0"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初步评审：</w:t>
      </w:r>
    </w:p>
    <w:p w14:paraId="2011F439">
      <w:pPr>
        <w:adjustRightInd w:val="0"/>
        <w:snapToGrid w:val="0"/>
        <w:spacing w:line="5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评审小组根据《资格性审查和符合性审查表》的内容逐条对响应文件进行评审，审查每份响应文件的相关资格证明文件是否齐全有效。审查每份响应文件是否实质上响应了采购文件的要求，只要不满足《资格性审查和符合性审查表》所列各项要求之一的，将被认定为无效响应。对响应有效性认定意见不一致的，评审小组按少数服从多数原则表决决定。</w:t>
      </w:r>
    </w:p>
    <w:p w14:paraId="139FF93E">
      <w:pPr>
        <w:adjustRightInd w:val="0"/>
        <w:snapToGrid w:val="0"/>
        <w:spacing w:line="540" w:lineRule="exact"/>
        <w:jc w:val="center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《资格性审查和符合性审查表》</w:t>
      </w:r>
    </w:p>
    <w:tbl>
      <w:tblPr>
        <w:tblStyle w:val="6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457"/>
      </w:tblGrid>
      <w:tr w14:paraId="28AA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664A51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审查项目</w:t>
            </w:r>
          </w:p>
        </w:tc>
        <w:tc>
          <w:tcPr>
            <w:tcW w:w="7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32C232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评审要求</w:t>
            </w:r>
          </w:p>
        </w:tc>
      </w:tr>
      <w:tr w14:paraId="5E10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045E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资格性审查</w:t>
            </w: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5D843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1、申报单位为在中华人民共和国境内注册成立的法人或其他组织， 具有独立承担民事责任的能力。（提供营业执照或社会团体法人登记证书复印件）</w:t>
            </w:r>
          </w:p>
        </w:tc>
      </w:tr>
      <w:tr w14:paraId="1E74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DEF5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92A2E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2、申报单位须拥有语音导览开发团队，具备自主设计开发语音导览产品的能力，且拥有相关设备渠道资源。（提供开发团队人员清单或有关证明材料）</w:t>
            </w:r>
          </w:p>
        </w:tc>
      </w:tr>
      <w:tr w14:paraId="21CE1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CD84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51D62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、申报单位具有良好的商业信誉和健全的财务会计制度。（提供申报承诺函）</w:t>
            </w:r>
          </w:p>
        </w:tc>
      </w:tr>
      <w:tr w14:paraId="593A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4819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FD467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、具有依法缴纳税收和社会保障资金的良好记录。（提供上一年度完税证明材料）</w:t>
            </w:r>
          </w:p>
        </w:tc>
      </w:tr>
      <w:tr w14:paraId="24155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1921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3449E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、参加本次招募前三年内，在经营活动中没有重大违法记录，不存在被责令停业，财产被冻结，不存在受到重大行政处罚、失信惩戒或其他法律法规规定无法正常经营的情况。（需提供在“信用中国”网站-www.creditchina.gov.cn下载的信用信息报告）</w:t>
            </w:r>
          </w:p>
        </w:tc>
      </w:tr>
      <w:tr w14:paraId="67737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6CA0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0AA9E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6、法律、行政法规规定的其他条件。</w:t>
            </w:r>
          </w:p>
        </w:tc>
      </w:tr>
      <w:tr w14:paraId="5222F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23A0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符合性审查</w:t>
            </w: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1ED2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1、响应内容的关键、主要项目完整，没有实质性缺漏。</w:t>
            </w:r>
          </w:p>
        </w:tc>
      </w:tr>
      <w:tr w14:paraId="6406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EBCA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E1FE2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2、申请函、法定代表人/负责人资格证明书及授权委托书，按对应格式文件签署、盖章。</w:t>
            </w:r>
          </w:p>
        </w:tc>
      </w:tr>
      <w:tr w14:paraId="7888D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FB80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A8FB1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、响应文件的签署和盖章：已明示需盖章、签名之处，均已加盖公章、由法定代表人或其授权代表签署本人姓名或加盖本人姓名章。</w:t>
            </w:r>
          </w:p>
        </w:tc>
      </w:tr>
      <w:tr w14:paraId="31B9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9A91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56063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、响应文件没有其它无效响应条款，没有招募人不能接受的其他附加条件。</w:t>
            </w:r>
          </w:p>
        </w:tc>
      </w:tr>
    </w:tbl>
    <w:p w14:paraId="34E5BC04">
      <w:pPr>
        <w:pStyle w:val="13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="312" w:beforeLines="100" w:line="360" w:lineRule="auto"/>
        <w:ind w:left="0" w:firstLine="0" w:firstLineChars="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详细评审：</w:t>
      </w:r>
    </w:p>
    <w:p w14:paraId="15D260B7">
      <w:pPr>
        <w:adjustRightInd w:val="0"/>
        <w:snapToGrid w:val="0"/>
        <w:spacing w:line="5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项目评审的总分值为100分，具体评审标准如下：</w:t>
      </w:r>
    </w:p>
    <w:tbl>
      <w:tblPr>
        <w:tblStyle w:val="10"/>
        <w:tblW w:w="85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417"/>
        <w:gridCol w:w="689"/>
        <w:gridCol w:w="5832"/>
      </w:tblGrid>
      <w:tr w14:paraId="64DB1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05" w:type="dxa"/>
            <w:vAlign w:val="center"/>
          </w:tcPr>
          <w:p w14:paraId="4125091D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  <w:lang w:eastAsia="zh-CN"/>
              </w:rPr>
            </w:pPr>
            <w:r>
              <w:rPr>
                <w:rFonts w:hint="eastAsia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 w14:paraId="758521DB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  <w:lang w:eastAsia="zh-CN"/>
              </w:rPr>
            </w:pPr>
            <w:r>
              <w:rPr>
                <w:rFonts w:hint="eastAsia" w:cs="黑体"/>
                <w:sz w:val="24"/>
                <w:szCs w:val="24"/>
                <w:lang w:eastAsia="zh-CN"/>
              </w:rPr>
              <w:t>评审项目</w:t>
            </w:r>
          </w:p>
        </w:tc>
        <w:tc>
          <w:tcPr>
            <w:tcW w:w="689" w:type="dxa"/>
            <w:vAlign w:val="center"/>
          </w:tcPr>
          <w:p w14:paraId="259DB2E4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pacing w:val="4"/>
                <w:sz w:val="24"/>
                <w:szCs w:val="24"/>
              </w:rPr>
              <w:t>分值</w:t>
            </w:r>
          </w:p>
        </w:tc>
        <w:tc>
          <w:tcPr>
            <w:tcW w:w="5832" w:type="dxa"/>
            <w:vAlign w:val="center"/>
          </w:tcPr>
          <w:p w14:paraId="7991F42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pacing w:val="5"/>
                <w:sz w:val="24"/>
                <w:szCs w:val="24"/>
              </w:rPr>
              <w:t>评分细则</w:t>
            </w:r>
          </w:p>
        </w:tc>
      </w:tr>
      <w:tr w14:paraId="72C4D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jc w:val="center"/>
        </w:trPr>
        <w:tc>
          <w:tcPr>
            <w:tcW w:w="605" w:type="dxa"/>
            <w:vAlign w:val="center"/>
          </w:tcPr>
          <w:p w14:paraId="16E4A7E1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5677789B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业绩证明</w:t>
            </w:r>
          </w:p>
        </w:tc>
        <w:tc>
          <w:tcPr>
            <w:tcW w:w="689" w:type="dxa"/>
            <w:vAlign w:val="center"/>
          </w:tcPr>
          <w:p w14:paraId="00C6B0C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832" w:type="dxa"/>
            <w:vAlign w:val="center"/>
          </w:tcPr>
          <w:p w14:paraId="55C6E2BC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sz w:val="24"/>
                <w:szCs w:val="24"/>
                <w:lang w:eastAsia="zh-CN" w:bidi="ar"/>
              </w:rPr>
            </w:pP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202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2年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月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日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(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以合同签订时间为准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)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以来意向合作方承接文博单位、景区等类似项目业绩，以提供承接项目的合同书复印件及相关对应项目的介绍、图片等为辅助证明材料。每提供一份完整的业绩证明得5分，提供业绩类型不符合或提供材料不完整或未提供证明材料的，则不列入类似项目业绩。本项最高得15分。</w:t>
            </w:r>
          </w:p>
        </w:tc>
      </w:tr>
      <w:tr w14:paraId="54E12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605" w:type="dxa"/>
            <w:vMerge w:val="restart"/>
            <w:vAlign w:val="center"/>
          </w:tcPr>
          <w:p w14:paraId="5C5111D5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2951AE99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项目建设</w:t>
            </w:r>
          </w:p>
          <w:p w14:paraId="5789E8C4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规划方案</w:t>
            </w:r>
          </w:p>
        </w:tc>
        <w:tc>
          <w:tcPr>
            <w:tcW w:w="689" w:type="dxa"/>
            <w:vAlign w:val="center"/>
          </w:tcPr>
          <w:p w14:paraId="79084099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832" w:type="dxa"/>
            <w:vAlign w:val="center"/>
          </w:tcPr>
          <w:p w14:paraId="283A69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Arial" w:hAnsi="Arial" w:cs="仿宋"/>
                <w:spacing w:val="-2"/>
                <w:sz w:val="24"/>
                <w:szCs w:val="24"/>
              </w:rPr>
              <w:t>制定合理的硬件配置方案（拟配置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软硬件产品的相关信息及重要技术参数、取得的技术专利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等）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。</w:t>
            </w:r>
          </w:p>
          <w:p w14:paraId="009240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0-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分；本项最高得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分。</w:t>
            </w:r>
          </w:p>
        </w:tc>
      </w:tr>
      <w:tr w14:paraId="77B9F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605" w:type="dxa"/>
            <w:vMerge w:val="continue"/>
            <w:tcBorders/>
            <w:vAlign w:val="center"/>
          </w:tcPr>
          <w:p w14:paraId="7BB31233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FCE1E8C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vAlign w:val="center"/>
          </w:tcPr>
          <w:p w14:paraId="4176A99D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832" w:type="dxa"/>
            <w:vAlign w:val="center"/>
          </w:tcPr>
          <w:p w14:paraId="0010DF8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Arial" w:hAnsi="Arial" w:cs="仿宋"/>
                <w:color w:val="auto"/>
                <w:spacing w:val="-2"/>
                <w:sz w:val="24"/>
                <w:szCs w:val="24"/>
              </w:rPr>
              <w:t>制定合理的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内容制作方案（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拟投入制作的语音导览内容，如中英文版、青少年版、粤语版讲解等，并提供相关案例介绍制作能力，说明讲解内容更新响应情况系统界面视觉设计方案、制作周期及成果审核标准等详细信息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  <w:t>。</w:t>
            </w:r>
          </w:p>
          <w:p w14:paraId="0055D431">
            <w:pPr>
              <w:widowControl/>
              <w:jc w:val="left"/>
              <w:rPr>
                <w:rFonts w:ascii="Arial" w:hAnsi="Arial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0-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分；本项最高得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分。</w:t>
            </w:r>
          </w:p>
        </w:tc>
      </w:tr>
      <w:tr w14:paraId="7944B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05" w:type="dxa"/>
            <w:vAlign w:val="center"/>
          </w:tcPr>
          <w:p w14:paraId="441460D0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vAlign w:val="center"/>
          </w:tcPr>
          <w:p w14:paraId="5EDCF5F8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设备设施投入计划</w:t>
            </w:r>
          </w:p>
        </w:tc>
        <w:tc>
          <w:tcPr>
            <w:tcW w:w="689" w:type="dxa"/>
            <w:vAlign w:val="center"/>
          </w:tcPr>
          <w:p w14:paraId="2E38437B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32" w:type="dxa"/>
            <w:vAlign w:val="center"/>
          </w:tcPr>
          <w:p w14:paraId="517B021F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合作单位至少提供3套自助导览服务驿站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highlight w:val="none"/>
                <w:lang w:eastAsia="zh-CN"/>
              </w:rPr>
              <w:t>（3套不得分），每增加1套得5分；</w:t>
            </w:r>
          </w:p>
          <w:p w14:paraId="2D493A28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合作单位至少提供180台导览终端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highlight w:val="none"/>
                <w:lang w:eastAsia="zh-CN"/>
              </w:rPr>
              <w:t>（180台不得分），每增加10台得2分。</w:t>
            </w:r>
          </w:p>
          <w:p w14:paraId="687C66CB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本项最高得</w:t>
            </w:r>
            <w:r>
              <w:rPr>
                <w:rFonts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0分。</w:t>
            </w:r>
          </w:p>
        </w:tc>
      </w:tr>
      <w:tr w14:paraId="2F8E8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05" w:type="dxa"/>
            <w:vAlign w:val="center"/>
          </w:tcPr>
          <w:p w14:paraId="68A0F4F7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vAlign w:val="center"/>
          </w:tcPr>
          <w:p w14:paraId="1AD94015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收费服务方案</w:t>
            </w:r>
          </w:p>
        </w:tc>
        <w:tc>
          <w:tcPr>
            <w:tcW w:w="689" w:type="dxa"/>
            <w:vAlign w:val="center"/>
          </w:tcPr>
          <w:p w14:paraId="7BC81D7F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4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832" w:type="dxa"/>
            <w:vAlign w:val="center"/>
          </w:tcPr>
          <w:p w14:paraId="4E937BB6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根据博物馆实际情况，制定合理可行的收费服务方案，内容包括收费项目简介、收费标准及制定依据、收费管理等内容。</w:t>
            </w:r>
          </w:p>
          <w:p w14:paraId="5598B678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0</w:t>
            </w:r>
            <w:r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-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5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本项最高得1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5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分。</w:t>
            </w:r>
          </w:p>
        </w:tc>
      </w:tr>
      <w:tr w14:paraId="23971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E76948A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83AC8">
            <w:pPr>
              <w:pStyle w:val="9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效益分配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01549A7">
            <w:pPr>
              <w:pStyle w:val="9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1E5891C4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提供详细的合作方案，对合作分成、合作投入等进行详细说明。每年博物馆所得项目收益的分成占比为总销售额的</w:t>
            </w:r>
            <w:r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0%以上（</w:t>
            </w:r>
            <w:r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0%不得分）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，每增加1%加2分。</w:t>
            </w:r>
          </w:p>
          <w:p w14:paraId="66D68EE8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本项最高得</w:t>
            </w:r>
            <w:r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20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分。</w:t>
            </w:r>
          </w:p>
        </w:tc>
      </w:tr>
      <w:tr w14:paraId="4472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05" w:type="dxa"/>
            <w:vAlign w:val="center"/>
          </w:tcPr>
          <w:p w14:paraId="5979EEF6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7" w:type="dxa"/>
            <w:vAlign w:val="center"/>
          </w:tcPr>
          <w:p w14:paraId="27FF36E8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服务质量保证</w:t>
            </w:r>
          </w:p>
        </w:tc>
        <w:tc>
          <w:tcPr>
            <w:tcW w:w="689" w:type="dxa"/>
            <w:vAlign w:val="center"/>
          </w:tcPr>
          <w:p w14:paraId="20B28B8E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cs="仿宋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32" w:type="dxa"/>
            <w:vAlign w:val="center"/>
          </w:tcPr>
          <w:p w14:paraId="2FE9EE39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制定服务质量保障方案，内容包括软硬件技术支持、后台数据安全、服务保障措施、纠纷处理等方面。</w:t>
            </w:r>
          </w:p>
          <w:p w14:paraId="0230CA84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对意向合作方技术支持、服务保障措施、纠纷处理机制等方面进行综合评议。0</w:t>
            </w:r>
            <w:r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-10</w:t>
            </w:r>
            <w:r>
              <w:rPr>
                <w:rFonts w:hint="eastAsia" w:cs="仿宋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本项最高得</w:t>
            </w:r>
            <w:r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10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lang w:eastAsia="zh-CN"/>
              </w:rPr>
              <w:t>分。</w:t>
            </w:r>
          </w:p>
        </w:tc>
      </w:tr>
      <w:tr w14:paraId="6FC8B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022" w:type="dxa"/>
            <w:gridSpan w:val="2"/>
            <w:vAlign w:val="center"/>
          </w:tcPr>
          <w:p w14:paraId="3BB147DC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pacing w:val="5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89" w:type="dxa"/>
            <w:vAlign w:val="center"/>
          </w:tcPr>
          <w:p w14:paraId="69DE4F6E">
            <w:pPr>
              <w:pStyle w:val="9"/>
              <w:widowControl w:val="0"/>
              <w:kinsoku/>
              <w:spacing w:before="78" w:beforeLines="25" w:after="78" w:afterLines="25"/>
              <w:jc w:val="center"/>
              <w:rPr>
                <w:rFonts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1</w:t>
            </w:r>
            <w:r>
              <w:rPr>
                <w:rFonts w:cs="仿宋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832" w:type="dxa"/>
            <w:vAlign w:val="center"/>
          </w:tcPr>
          <w:p w14:paraId="613DFF2E">
            <w:pPr>
              <w:pStyle w:val="9"/>
              <w:widowControl w:val="0"/>
              <w:kinsoku/>
              <w:spacing w:before="78" w:beforeLines="25" w:after="78" w:afterLines="25"/>
              <w:jc w:val="both"/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 w14:paraId="4359F523"/>
    <w:p w14:paraId="42DE62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72B15"/>
    <w:multiLevelType w:val="multilevel"/>
    <w:tmpl w:val="49272B1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0724C"/>
    <w:rsid w:val="00013A3C"/>
    <w:rsid w:val="00015C98"/>
    <w:rsid w:val="00052F13"/>
    <w:rsid w:val="00062FCF"/>
    <w:rsid w:val="000844DB"/>
    <w:rsid w:val="0009603E"/>
    <w:rsid w:val="00157A43"/>
    <w:rsid w:val="00230F47"/>
    <w:rsid w:val="002610F7"/>
    <w:rsid w:val="002D0199"/>
    <w:rsid w:val="00374146"/>
    <w:rsid w:val="003C6416"/>
    <w:rsid w:val="003D3C31"/>
    <w:rsid w:val="00475B34"/>
    <w:rsid w:val="0052492F"/>
    <w:rsid w:val="00553A49"/>
    <w:rsid w:val="005579E9"/>
    <w:rsid w:val="005733EA"/>
    <w:rsid w:val="0058732B"/>
    <w:rsid w:val="005A375D"/>
    <w:rsid w:val="005F6965"/>
    <w:rsid w:val="00665685"/>
    <w:rsid w:val="006C026D"/>
    <w:rsid w:val="007371C2"/>
    <w:rsid w:val="007A7371"/>
    <w:rsid w:val="008020C5"/>
    <w:rsid w:val="00894433"/>
    <w:rsid w:val="008A26E4"/>
    <w:rsid w:val="00945DA8"/>
    <w:rsid w:val="009C0A67"/>
    <w:rsid w:val="009C59E5"/>
    <w:rsid w:val="00A54C65"/>
    <w:rsid w:val="00AC6E4F"/>
    <w:rsid w:val="00B147CD"/>
    <w:rsid w:val="00B62EC8"/>
    <w:rsid w:val="00B732CC"/>
    <w:rsid w:val="00BF6704"/>
    <w:rsid w:val="00D13BAE"/>
    <w:rsid w:val="00D40651"/>
    <w:rsid w:val="00DD1251"/>
    <w:rsid w:val="00DE4EC5"/>
    <w:rsid w:val="00E7343F"/>
    <w:rsid w:val="00EA73A6"/>
    <w:rsid w:val="00EB65A9"/>
    <w:rsid w:val="00F245B4"/>
    <w:rsid w:val="00F37E86"/>
    <w:rsid w:val="00F71A93"/>
    <w:rsid w:val="00FC2DBE"/>
    <w:rsid w:val="00FE4997"/>
    <w:rsid w:val="01A00DB8"/>
    <w:rsid w:val="02EC685C"/>
    <w:rsid w:val="03531B8D"/>
    <w:rsid w:val="0596465A"/>
    <w:rsid w:val="072F1F4A"/>
    <w:rsid w:val="081B19DC"/>
    <w:rsid w:val="093C7535"/>
    <w:rsid w:val="09A61163"/>
    <w:rsid w:val="0C005CCB"/>
    <w:rsid w:val="0C2B38C5"/>
    <w:rsid w:val="0E194190"/>
    <w:rsid w:val="10CD441E"/>
    <w:rsid w:val="119A02EF"/>
    <w:rsid w:val="1410457B"/>
    <w:rsid w:val="14127A7E"/>
    <w:rsid w:val="17FD7414"/>
    <w:rsid w:val="18B20E74"/>
    <w:rsid w:val="19412BFE"/>
    <w:rsid w:val="1D3A3784"/>
    <w:rsid w:val="1F94485C"/>
    <w:rsid w:val="25B150E7"/>
    <w:rsid w:val="25CB668E"/>
    <w:rsid w:val="25F0724C"/>
    <w:rsid w:val="26B56AD8"/>
    <w:rsid w:val="278375B8"/>
    <w:rsid w:val="28654336"/>
    <w:rsid w:val="28E26223"/>
    <w:rsid w:val="29974A4D"/>
    <w:rsid w:val="2B733B25"/>
    <w:rsid w:val="2EB540B0"/>
    <w:rsid w:val="2F141ECB"/>
    <w:rsid w:val="316973CB"/>
    <w:rsid w:val="31944589"/>
    <w:rsid w:val="31CF11C1"/>
    <w:rsid w:val="3442504B"/>
    <w:rsid w:val="35764143"/>
    <w:rsid w:val="387B3652"/>
    <w:rsid w:val="3AB265D9"/>
    <w:rsid w:val="3B5D0C70"/>
    <w:rsid w:val="3DD16176"/>
    <w:rsid w:val="3F4A11B2"/>
    <w:rsid w:val="3FBB3887"/>
    <w:rsid w:val="3FDE6257"/>
    <w:rsid w:val="40F17018"/>
    <w:rsid w:val="41597CC1"/>
    <w:rsid w:val="448B35BF"/>
    <w:rsid w:val="461E3142"/>
    <w:rsid w:val="46A71178"/>
    <w:rsid w:val="482A1833"/>
    <w:rsid w:val="4EF61917"/>
    <w:rsid w:val="53052442"/>
    <w:rsid w:val="54175782"/>
    <w:rsid w:val="55123A38"/>
    <w:rsid w:val="555E131C"/>
    <w:rsid w:val="572A239C"/>
    <w:rsid w:val="586E5FBF"/>
    <w:rsid w:val="5AA62E48"/>
    <w:rsid w:val="601B50B8"/>
    <w:rsid w:val="61BD7BD2"/>
    <w:rsid w:val="626003B8"/>
    <w:rsid w:val="668A1EC9"/>
    <w:rsid w:val="6747227C"/>
    <w:rsid w:val="69CE2026"/>
    <w:rsid w:val="6BCB65E9"/>
    <w:rsid w:val="6FBB0A5D"/>
    <w:rsid w:val="70607562"/>
    <w:rsid w:val="787D153B"/>
    <w:rsid w:val="7C062D05"/>
    <w:rsid w:val="7FB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99"/>
    <w:pPr>
      <w:ind w:left="420" w:leftChars="200"/>
    </w:p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  <w:style w:type="table" w:customStyle="1" w:styleId="10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1439</Characters>
  <Lines>11</Lines>
  <Paragraphs>3</Paragraphs>
  <TotalTime>40</TotalTime>
  <ScaleCrop>false</ScaleCrop>
  <LinksUpToDate>false</LinksUpToDate>
  <CharactersWithSpaces>1688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2025-02-13T01:34:00Z</dcterms:created>
  <dc:creator>梅梅莓莓枚枚</dc:creator>
  <cp:lastModifiedBy>梅梅莓莓枚枚</cp:lastModifiedBy>
  <dcterms:modified xsi:type="dcterms:W3CDTF">2025-08-19T03:52:43Z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EEABDAD9F502430CA704B32BF35F61A4_13</vt:lpwstr>
  </property>
</Properties>
</file>